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Tahoma" w:hAnsi="Tahoma" w:cs="Tahoma" w:eastAsia="Tahoma"/>
          <w:b/>
          <w:color w:val="1B2A4A"/>
          <w:sz w:val="26"/>
        </w:rPr>
        <w:t>รายงานประจำเดือน พ.ค. 2026 (MOCK DATA)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ยอดขายรวม 8,420 ตัน เพิ่มขึ้น 6% จากเดือนก่อน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ภาคตะวันออกเป็นภาคที่ยอดสูงสุดต่อเนื่องเป็นเดือนที่ 3</w:t>
      </w:r>
    </w:p>
    <w:p>
      <w:pPr>
        <w:spacing w:after="80"/>
      </w:pPr>
      <w:r>
        <w:rPr>
          <w:rFonts w:ascii="Tahoma" w:hAnsi="Tahoma" w:cs="Tahoma" w:eastAsia="Tahoma"/>
          <w:b w:val="0"/>
          <w:sz w:val="20"/>
        </w:rPr>
        <w:t>ประเด็นค้าง: ใบเสนอราคาลูกค้าใหม่ 2 ราย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